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D" w:rsidRDefault="000408B1">
      <w:pPr>
        <w:pStyle w:val="a3"/>
        <w:spacing w:line="360" w:lineRule="auto"/>
        <w:rPr>
          <w:rFonts w:cs="David" w:hint="cs"/>
          <w:b w:val="0"/>
          <w:rtl/>
        </w:rPr>
      </w:pPr>
      <w:r>
        <w:rPr>
          <w:rFonts w:cs="David" w:hint="cs"/>
          <w:b w:val="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-765810</wp:posOffset>
            </wp:positionV>
            <wp:extent cx="2495550" cy="590550"/>
            <wp:effectExtent l="0" t="0" r="0" b="0"/>
            <wp:wrapNone/>
            <wp:docPr id="2" name="תמונה 2" descr="לוגו חברה" title="לוגו חב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Word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AA" w:rsidRPr="003A1708" w:rsidRDefault="00F17CAA" w:rsidP="00C55214">
      <w:pPr>
        <w:spacing w:line="360" w:lineRule="auto"/>
        <w:jc w:val="center"/>
        <w:rPr>
          <w:rFonts w:ascii="Arial" w:hAnsi="Arial" w:cs="Arial"/>
          <w:bCs w:val="0"/>
          <w:u w:val="single"/>
          <w:rtl/>
        </w:rPr>
      </w:pPr>
      <w:r w:rsidRPr="003A1708">
        <w:rPr>
          <w:rFonts w:ascii="Arial" w:hAnsi="Arial" w:cs="Arial"/>
          <w:bCs w:val="0"/>
          <w:u w:val="single"/>
          <w:rtl/>
        </w:rPr>
        <w:t xml:space="preserve">מכרז מס' </w:t>
      </w:r>
      <w:r w:rsidR="00C55214" w:rsidRPr="003A1708">
        <w:rPr>
          <w:rFonts w:ascii="Arial" w:hAnsi="Arial" w:cs="Arial"/>
          <w:b/>
          <w:u w:val="single"/>
          <w:rtl/>
        </w:rPr>
        <w:t>17/286</w:t>
      </w: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</w:p>
    <w:p w:rsidR="00F17CAA" w:rsidRPr="003A1708" w:rsidRDefault="00F17CAA" w:rsidP="00C55214">
      <w:pPr>
        <w:spacing w:line="360" w:lineRule="auto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 xml:space="preserve">חברת תשתיות נפט ואנרגיה בע"מ (להלן </w:t>
      </w:r>
      <w:r w:rsidRPr="003A1708">
        <w:rPr>
          <w:rFonts w:ascii="Arial" w:hAnsi="Arial" w:cs="Arial"/>
          <w:bCs w:val="0"/>
        </w:rPr>
        <w:t>–</w:t>
      </w:r>
      <w:r w:rsidRPr="003A1708">
        <w:rPr>
          <w:rFonts w:ascii="Arial" w:hAnsi="Arial" w:cs="Arial"/>
          <w:bCs w:val="0"/>
          <w:rtl/>
        </w:rPr>
        <w:t xml:space="preserve"> "החברה") מזמינה בזאת הצעות  לביצוע עבודות </w:t>
      </w:r>
      <w:r w:rsidR="00C55214" w:rsidRPr="003A1708">
        <w:rPr>
          <w:rFonts w:ascii="Arial" w:hAnsi="Arial" w:cs="Arial"/>
          <w:bCs w:val="0"/>
          <w:rtl/>
        </w:rPr>
        <w:t>צביעת גג מיכל 7 באלרואי</w:t>
      </w:r>
      <w:r w:rsidR="00641A2E" w:rsidRPr="003A1708">
        <w:rPr>
          <w:rFonts w:ascii="Arial" w:hAnsi="Arial" w:cs="Arial"/>
          <w:bCs w:val="0"/>
          <w:rtl/>
        </w:rPr>
        <w:t xml:space="preserve"> </w:t>
      </w:r>
      <w:r w:rsidR="0062104B" w:rsidRPr="003A1708">
        <w:rPr>
          <w:rFonts w:ascii="Arial" w:hAnsi="Arial" w:cs="Arial"/>
          <w:bCs w:val="0"/>
          <w:rtl/>
        </w:rPr>
        <w:t>.</w:t>
      </w:r>
      <w:r w:rsidRPr="003A1708">
        <w:rPr>
          <w:rFonts w:ascii="Arial" w:hAnsi="Arial" w:cs="Arial"/>
          <w:bCs w:val="0"/>
          <w:rtl/>
        </w:rPr>
        <w:t xml:space="preserve"> (להלן </w:t>
      </w:r>
      <w:r w:rsidRPr="003A1708">
        <w:rPr>
          <w:rFonts w:ascii="Arial" w:hAnsi="Arial" w:cs="Arial"/>
          <w:bCs w:val="0"/>
        </w:rPr>
        <w:t>–</w:t>
      </w:r>
      <w:r w:rsidRPr="003A1708">
        <w:rPr>
          <w:rFonts w:ascii="Arial" w:hAnsi="Arial" w:cs="Arial"/>
          <w:bCs w:val="0"/>
          <w:rtl/>
        </w:rPr>
        <w:t xml:space="preserve"> "העבודה").</w:t>
      </w: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</w:p>
    <w:p w:rsidR="00F17CAA" w:rsidRPr="003A1708" w:rsidRDefault="00F17CAA" w:rsidP="00C55214">
      <w:pPr>
        <w:spacing w:line="360" w:lineRule="auto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>תקופת הביצוע המשוערת הינה</w:t>
      </w:r>
      <w:r w:rsidR="002505B5" w:rsidRPr="003A1708">
        <w:rPr>
          <w:rFonts w:ascii="Arial" w:hAnsi="Arial" w:cs="Arial"/>
          <w:bCs w:val="0"/>
          <w:rtl/>
        </w:rPr>
        <w:t xml:space="preserve"> </w:t>
      </w:r>
      <w:r w:rsidR="00C55214" w:rsidRPr="003A1708">
        <w:rPr>
          <w:rFonts w:ascii="Arial" w:hAnsi="Arial" w:cs="Arial"/>
          <w:bCs w:val="0"/>
          <w:rtl/>
        </w:rPr>
        <w:t>45</w:t>
      </w:r>
      <w:r w:rsidR="005B7459" w:rsidRPr="003A1708">
        <w:rPr>
          <w:rFonts w:ascii="Arial" w:hAnsi="Arial" w:cs="Arial"/>
          <w:bCs w:val="0"/>
          <w:rtl/>
        </w:rPr>
        <w:t xml:space="preserve"> </w:t>
      </w:r>
      <w:r w:rsidR="00002B43" w:rsidRPr="003A1708">
        <w:rPr>
          <w:rFonts w:ascii="Arial" w:hAnsi="Arial" w:cs="Arial"/>
          <w:bCs w:val="0"/>
          <w:rtl/>
        </w:rPr>
        <w:t>ימי לוח</w:t>
      </w:r>
      <w:r w:rsidR="0043307F" w:rsidRPr="003A1708">
        <w:rPr>
          <w:rFonts w:ascii="Arial" w:hAnsi="Arial" w:cs="Arial"/>
          <w:bCs w:val="0"/>
          <w:rtl/>
        </w:rPr>
        <w:t xml:space="preserve">. </w:t>
      </w:r>
    </w:p>
    <w:p w:rsidR="00F17CAA" w:rsidRPr="003A1708" w:rsidRDefault="00F17CAA">
      <w:pPr>
        <w:pStyle w:val="2"/>
        <w:rPr>
          <w:rFonts w:ascii="Arial" w:hAnsi="Arial" w:cs="Arial"/>
          <w:rtl/>
        </w:rPr>
      </w:pP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u w:val="single"/>
          <w:rtl/>
        </w:rPr>
      </w:pPr>
      <w:r w:rsidRPr="003A1708">
        <w:rPr>
          <w:rFonts w:ascii="Arial" w:hAnsi="Arial" w:cs="Arial"/>
          <w:bCs w:val="0"/>
          <w:u w:val="single"/>
          <w:rtl/>
        </w:rPr>
        <w:t>תנאי הסף להשתתפות במכרז:</w:t>
      </w:r>
    </w:p>
    <w:p w:rsidR="00143A61" w:rsidRPr="003A1708" w:rsidRDefault="00143A61" w:rsidP="00C55214">
      <w:pPr>
        <w:spacing w:line="360" w:lineRule="auto"/>
        <w:ind w:left="720" w:hanging="720"/>
        <w:rPr>
          <w:rFonts w:ascii="Arial" w:hAnsi="Arial" w:cs="Arial"/>
          <w:b/>
          <w:bCs w:val="0"/>
          <w:rtl/>
        </w:rPr>
      </w:pPr>
      <w:r w:rsidRPr="003A1708">
        <w:rPr>
          <w:rFonts w:ascii="Arial" w:hAnsi="Arial" w:cs="Arial"/>
          <w:b/>
          <w:bCs w:val="0"/>
          <w:rtl/>
        </w:rPr>
        <w:t>1.</w:t>
      </w:r>
      <w:r w:rsidRPr="003A1708">
        <w:rPr>
          <w:rFonts w:ascii="Arial" w:hAnsi="Arial" w:cs="Arial"/>
          <w:b/>
          <w:bCs w:val="0"/>
          <w:rtl/>
        </w:rPr>
        <w:tab/>
      </w:r>
      <w:r w:rsidR="00C55214" w:rsidRPr="003A1708">
        <w:rPr>
          <w:rFonts w:ascii="Arial" w:hAnsi="Arial" w:cs="Arial"/>
          <w:b/>
          <w:bCs w:val="0"/>
          <w:rtl/>
        </w:rPr>
        <w:t xml:space="preserve">למציע ניסיון מוכח בצביעת גג אחד לפחות של מיכל דלק פעיל תזקיקים/ דלק גולמי  , בנפח מינימאלי של 4000 קוב , במהלך ה - 5 שנים האחרונות.  </w:t>
      </w:r>
    </w:p>
    <w:p w:rsidR="005B7459" w:rsidRPr="003A1708" w:rsidRDefault="00A44600" w:rsidP="005B7459">
      <w:pPr>
        <w:spacing w:line="360" w:lineRule="auto"/>
        <w:ind w:left="720" w:hanging="720"/>
        <w:rPr>
          <w:rFonts w:ascii="Arial" w:hAnsi="Arial" w:cs="Arial"/>
          <w:b/>
          <w:bCs w:val="0"/>
          <w:rtl/>
        </w:rPr>
      </w:pPr>
      <w:r w:rsidRPr="003A1708">
        <w:rPr>
          <w:rFonts w:ascii="Arial" w:hAnsi="Arial" w:cs="Arial"/>
          <w:b/>
          <w:bCs w:val="0"/>
          <w:rtl/>
        </w:rPr>
        <w:t>2.</w:t>
      </w:r>
      <w:r w:rsidRPr="003A1708">
        <w:rPr>
          <w:rFonts w:ascii="Arial" w:hAnsi="Arial" w:cs="Arial"/>
          <w:b/>
          <w:bCs w:val="0"/>
          <w:rtl/>
        </w:rPr>
        <w:tab/>
        <w:t>מערכת הצבע תהיה בהתאם לדרישות המפרט הטכני, להנחת דעתה של החברה</w:t>
      </w:r>
      <w:r w:rsidR="00F8028C" w:rsidRPr="003A1708">
        <w:rPr>
          <w:rFonts w:ascii="Arial" w:hAnsi="Arial" w:cs="Arial"/>
          <w:b/>
          <w:bCs w:val="0"/>
          <w:rtl/>
        </w:rPr>
        <w:t>.</w:t>
      </w:r>
    </w:p>
    <w:p w:rsidR="008340BB" w:rsidRPr="003A1708" w:rsidRDefault="005B7459" w:rsidP="003A1708">
      <w:pPr>
        <w:spacing w:line="360" w:lineRule="auto"/>
        <w:ind w:left="720" w:hanging="720"/>
        <w:rPr>
          <w:rFonts w:ascii="Arial" w:hAnsi="Arial" w:cs="Arial"/>
          <w:b/>
          <w:bCs w:val="0"/>
        </w:rPr>
      </w:pPr>
      <w:r w:rsidRPr="003A1708">
        <w:rPr>
          <w:rFonts w:ascii="Arial" w:hAnsi="Arial" w:cs="Arial"/>
          <w:b/>
          <w:bCs w:val="0"/>
          <w:rtl/>
        </w:rPr>
        <w:t>3.</w:t>
      </w:r>
      <w:r w:rsidR="008340BB" w:rsidRPr="003A1708">
        <w:rPr>
          <w:rFonts w:ascii="Arial" w:hAnsi="Arial" w:cs="Arial"/>
          <w:b/>
          <w:bCs w:val="0"/>
          <w:rtl/>
        </w:rPr>
        <w:tab/>
        <w:t xml:space="preserve">המציע ישתתף בסיור קבלנים שיערך ביום </w:t>
      </w:r>
      <w:r w:rsidR="003A1708">
        <w:rPr>
          <w:rFonts w:ascii="Arial" w:hAnsi="Arial" w:cs="Arial" w:hint="cs"/>
          <w:rtl/>
        </w:rPr>
        <w:t>20.11.2017</w:t>
      </w:r>
      <w:r w:rsidR="008340BB" w:rsidRPr="003A1708">
        <w:rPr>
          <w:rFonts w:ascii="Arial" w:hAnsi="Arial" w:cs="Arial"/>
          <w:b/>
          <w:bCs w:val="0"/>
          <w:rtl/>
        </w:rPr>
        <w:t>, כאמור במסמכי הכרז.</w:t>
      </w:r>
    </w:p>
    <w:p w:rsidR="00F17CAA" w:rsidRPr="003A1708" w:rsidRDefault="0053561D" w:rsidP="00C55214">
      <w:pPr>
        <w:pStyle w:val="2"/>
        <w:ind w:left="720" w:right="720" w:hanging="720"/>
        <w:rPr>
          <w:rFonts w:ascii="Arial" w:hAnsi="Arial" w:cs="Arial"/>
          <w:b/>
          <w:u w:val="none"/>
        </w:rPr>
      </w:pPr>
      <w:r w:rsidRPr="003A1708">
        <w:rPr>
          <w:rFonts w:ascii="Arial" w:hAnsi="Arial" w:cs="Arial"/>
          <w:b/>
          <w:u w:val="none"/>
          <w:rtl/>
        </w:rPr>
        <w:t>4</w:t>
      </w:r>
      <w:r w:rsidR="008340BB" w:rsidRPr="003A1708">
        <w:rPr>
          <w:rFonts w:ascii="Arial" w:hAnsi="Arial" w:cs="Arial"/>
          <w:b/>
          <w:u w:val="none"/>
          <w:rtl/>
        </w:rPr>
        <w:t>.</w:t>
      </w:r>
      <w:r w:rsidR="008340BB" w:rsidRPr="003A1708">
        <w:rPr>
          <w:rFonts w:ascii="Arial" w:hAnsi="Arial" w:cs="Arial"/>
          <w:b/>
          <w:u w:val="none"/>
          <w:rtl/>
        </w:rPr>
        <w:tab/>
      </w:r>
      <w:r w:rsidR="00EC1006" w:rsidRPr="003A1708">
        <w:rPr>
          <w:rFonts w:ascii="Arial" w:hAnsi="Arial" w:cs="Arial"/>
          <w:b/>
          <w:u w:val="none"/>
          <w:rtl/>
        </w:rPr>
        <w:t>ה</w:t>
      </w:r>
      <w:r w:rsidR="003777DD" w:rsidRPr="003A1708">
        <w:rPr>
          <w:rFonts w:ascii="Arial" w:hAnsi="Arial" w:cs="Arial"/>
          <w:b/>
          <w:u w:val="none"/>
          <w:rtl/>
        </w:rPr>
        <w:t xml:space="preserve">מציע ימציא ערבות בנקאית לקיום ההצעה על סך </w:t>
      </w:r>
      <w:r w:rsidR="00C55214" w:rsidRPr="003A1708">
        <w:rPr>
          <w:rFonts w:ascii="Arial" w:hAnsi="Arial" w:cs="Arial"/>
          <w:b/>
          <w:u w:val="none"/>
          <w:rtl/>
        </w:rPr>
        <w:t>10</w:t>
      </w:r>
      <w:r w:rsidR="00773AAA" w:rsidRPr="003A1708">
        <w:rPr>
          <w:rFonts w:ascii="Arial" w:hAnsi="Arial" w:cs="Arial"/>
          <w:b/>
          <w:u w:val="none"/>
          <w:rtl/>
        </w:rPr>
        <w:t>,000</w:t>
      </w:r>
      <w:r w:rsidR="003777DD" w:rsidRPr="003A1708">
        <w:rPr>
          <w:rFonts w:ascii="Arial" w:hAnsi="Arial" w:cs="Arial"/>
          <w:b/>
          <w:u w:val="none"/>
          <w:rtl/>
        </w:rPr>
        <w:t xml:space="preserve"> ₪ , כאמור במסמכי המכרז</w:t>
      </w:r>
      <w:r w:rsidR="00F17CAA" w:rsidRPr="003A1708">
        <w:rPr>
          <w:rFonts w:ascii="Arial" w:hAnsi="Arial" w:cs="Arial"/>
          <w:b/>
          <w:u w:val="none"/>
          <w:rtl/>
        </w:rPr>
        <w:t>.</w:t>
      </w:r>
    </w:p>
    <w:p w:rsidR="00F17CAA" w:rsidRPr="003A1708" w:rsidRDefault="0053561D" w:rsidP="003A1708">
      <w:pPr>
        <w:pStyle w:val="2"/>
        <w:ind w:left="720" w:right="720" w:hanging="720"/>
        <w:rPr>
          <w:rFonts w:ascii="Arial" w:hAnsi="Arial" w:cs="Arial"/>
          <w:u w:val="none"/>
          <w:rtl/>
        </w:rPr>
      </w:pPr>
      <w:r w:rsidRPr="003A1708">
        <w:rPr>
          <w:rFonts w:ascii="Arial" w:hAnsi="Arial" w:cs="Arial"/>
          <w:u w:val="none"/>
          <w:rtl/>
        </w:rPr>
        <w:t>5</w:t>
      </w:r>
      <w:r w:rsidR="008340BB" w:rsidRPr="003A1708">
        <w:rPr>
          <w:rFonts w:ascii="Arial" w:hAnsi="Arial" w:cs="Arial"/>
          <w:u w:val="none"/>
          <w:rtl/>
        </w:rPr>
        <w:t>.</w:t>
      </w:r>
      <w:r w:rsidR="008340BB" w:rsidRPr="003A1708">
        <w:rPr>
          <w:rFonts w:ascii="Arial" w:hAnsi="Arial" w:cs="Arial"/>
          <w:u w:val="none"/>
          <w:rtl/>
        </w:rPr>
        <w:tab/>
      </w:r>
      <w:r w:rsidR="00F17CAA" w:rsidRPr="003A1708">
        <w:rPr>
          <w:rFonts w:ascii="Arial" w:hAnsi="Arial" w:cs="Arial"/>
          <w:u w:val="none"/>
          <w:rtl/>
        </w:rPr>
        <w:t>למציע כל האישורים הנדרשים על פי חוק עס</w:t>
      </w:r>
      <w:r w:rsidR="003A1708">
        <w:rPr>
          <w:rFonts w:ascii="Arial" w:hAnsi="Arial" w:cs="Arial"/>
          <w:u w:val="none"/>
          <w:rtl/>
        </w:rPr>
        <w:t>קאות גופים ציבוריים (אכיפת ניהו</w:t>
      </w:r>
      <w:r w:rsidR="003A1708">
        <w:rPr>
          <w:rFonts w:ascii="Arial" w:hAnsi="Arial" w:cs="Arial" w:hint="cs"/>
          <w:u w:val="none"/>
          <w:rtl/>
        </w:rPr>
        <w:t xml:space="preserve">ל </w:t>
      </w:r>
      <w:r w:rsidR="00F17CAA" w:rsidRPr="003A1708">
        <w:rPr>
          <w:rFonts w:ascii="Arial" w:hAnsi="Arial" w:cs="Arial"/>
          <w:u w:val="none"/>
          <w:rtl/>
        </w:rPr>
        <w:t xml:space="preserve">חשבונות ותשלום חובות מס), התשל"ו </w:t>
      </w:r>
      <w:r w:rsidR="00F17CAA" w:rsidRPr="003A1708">
        <w:rPr>
          <w:rFonts w:ascii="Arial" w:hAnsi="Arial" w:cs="Arial"/>
          <w:u w:val="none"/>
        </w:rPr>
        <w:t>–</w:t>
      </w:r>
      <w:r w:rsidR="00F17CAA" w:rsidRPr="003A1708">
        <w:rPr>
          <w:rFonts w:ascii="Arial" w:hAnsi="Arial" w:cs="Arial"/>
          <w:u w:val="none"/>
          <w:rtl/>
        </w:rPr>
        <w:t xml:space="preserve"> 1976.</w:t>
      </w: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>המציע יצרף להצעתו את כל המסמכים הנדרשים להוכחת עמידתו בתנאי הסף ובמפרט הטכני, כאמור לעיל.</w:t>
      </w: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</w:p>
    <w:p w:rsidR="00F17CAA" w:rsidRPr="003A1708" w:rsidRDefault="00F17CAA" w:rsidP="003A1708">
      <w:pPr>
        <w:spacing w:line="360" w:lineRule="auto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 xml:space="preserve">המועד האחרון להגשת הצעות </w:t>
      </w:r>
      <w:r w:rsidR="008340BB" w:rsidRPr="003A1708">
        <w:rPr>
          <w:rFonts w:ascii="Arial" w:hAnsi="Arial" w:cs="Arial"/>
          <w:b/>
          <w:rtl/>
        </w:rPr>
        <w:t xml:space="preserve"> - </w:t>
      </w:r>
      <w:r w:rsidR="003A1708">
        <w:rPr>
          <w:rFonts w:ascii="Arial" w:hAnsi="Arial" w:cs="Arial" w:hint="cs"/>
          <w:b/>
          <w:rtl/>
        </w:rPr>
        <w:t>28.11.2017</w:t>
      </w:r>
      <w:r w:rsidR="00F94664" w:rsidRPr="003A1708">
        <w:rPr>
          <w:rFonts w:ascii="Arial" w:hAnsi="Arial" w:cs="Arial"/>
          <w:b/>
          <w:rtl/>
        </w:rPr>
        <w:t xml:space="preserve"> </w:t>
      </w:r>
      <w:r w:rsidR="00F94664" w:rsidRPr="003A1708">
        <w:rPr>
          <w:rFonts w:ascii="Arial" w:hAnsi="Arial" w:cs="Arial"/>
          <w:bCs w:val="0"/>
          <w:rtl/>
        </w:rPr>
        <w:t>לתיבת המכרזים במשרדי החברה</w:t>
      </w:r>
      <w:r w:rsidR="00F16C14" w:rsidRPr="003A1708">
        <w:rPr>
          <w:rFonts w:ascii="Arial" w:hAnsi="Arial" w:cs="Arial"/>
          <w:b/>
          <w:rtl/>
        </w:rPr>
        <w:t>.</w:t>
      </w: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>כניסת עובדי המציע למתקני החברה תותר רק לאחר אישור קב"ט החברה והרשויות המוסמכות, כמפורט במסמכי המכרז.</w:t>
      </w:r>
    </w:p>
    <w:p w:rsidR="00F12FD5" w:rsidRPr="003A1708" w:rsidRDefault="00F12FD5" w:rsidP="00910A30">
      <w:pPr>
        <w:spacing w:line="360" w:lineRule="auto"/>
        <w:rPr>
          <w:rFonts w:ascii="Arial" w:hAnsi="Arial" w:cs="Arial"/>
          <w:bCs w:val="0"/>
        </w:rPr>
      </w:pPr>
      <w:r w:rsidRPr="003A1708">
        <w:rPr>
          <w:rFonts w:ascii="Arial" w:hAnsi="Arial" w:cs="Arial"/>
          <w:bCs w:val="0"/>
          <w:rtl/>
        </w:rPr>
        <w:t>את מסמכי המכרז ניתן להוריד מאתר האינטרנט של החברה או לקבלם ללא תשלום (בתאום מראש באמצעות פקס מס' 09-</w:t>
      </w:r>
      <w:r w:rsidR="00910A30" w:rsidRPr="003A1708">
        <w:rPr>
          <w:rFonts w:ascii="Arial" w:hAnsi="Arial" w:cs="Arial"/>
          <w:bCs w:val="0"/>
          <w:rtl/>
        </w:rPr>
        <w:t>9528139</w:t>
      </w:r>
      <w:r w:rsidRPr="003A1708">
        <w:rPr>
          <w:rFonts w:ascii="Arial" w:hAnsi="Arial" w:cs="Arial"/>
          <w:bCs w:val="0"/>
          <w:rtl/>
        </w:rPr>
        <w:t xml:space="preserve"> או פנייה לדוא"ל </w:t>
      </w:r>
      <w:hyperlink r:id="rId6" w:history="1">
        <w:r w:rsidRPr="003A1708">
          <w:rPr>
            <w:rStyle w:val="Hyperlink"/>
            <w:rFonts w:ascii="Arial" w:hAnsi="Arial" w:cs="Arial"/>
            <w:bCs w:val="0"/>
          </w:rPr>
          <w:t>liat@pei.co.il</w:t>
        </w:r>
      </w:hyperlink>
      <w:r w:rsidRPr="003A1708">
        <w:rPr>
          <w:rFonts w:ascii="Arial" w:hAnsi="Arial" w:cs="Arial"/>
          <w:bCs w:val="0"/>
          <w:rtl/>
        </w:rPr>
        <w:t xml:space="preserve"> ) במשרדי החברה ברחוב הסדנאות 3, א.ת. הרצליה, בקומה 1.</w:t>
      </w:r>
    </w:p>
    <w:p w:rsidR="00F12FD5" w:rsidRPr="003A1708" w:rsidRDefault="00F12FD5">
      <w:pPr>
        <w:spacing w:line="360" w:lineRule="auto"/>
        <w:rPr>
          <w:rFonts w:ascii="Arial" w:hAnsi="Arial" w:cs="Arial"/>
          <w:bCs w:val="0"/>
          <w:rtl/>
        </w:rPr>
      </w:pPr>
    </w:p>
    <w:p w:rsidR="00F17CAA" w:rsidRPr="003A1708" w:rsidRDefault="00F17CAA">
      <w:pPr>
        <w:spacing w:line="360" w:lineRule="auto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 xml:space="preserve">אין החברה מתחייבת לקבל את ההצעה הזולה ביותר או כל הצעה שהיא. </w:t>
      </w:r>
      <w:r w:rsidR="003B0D9A" w:rsidRPr="003A1708">
        <w:rPr>
          <w:rFonts w:ascii="Arial" w:hAnsi="Arial" w:cs="Arial"/>
          <w:bCs w:val="0"/>
          <w:rtl/>
        </w:rPr>
        <w:t>החברה שומרת לעצמה את הזכות לנהל מו"מ עם מי מהמציעים שהצעותיהם נמצאו מתאימות.</w:t>
      </w:r>
    </w:p>
    <w:p w:rsidR="003D166C" w:rsidRPr="003A1708" w:rsidRDefault="00F17CAA" w:rsidP="003A1708">
      <w:pPr>
        <w:spacing w:line="360" w:lineRule="auto"/>
        <w:jc w:val="both"/>
        <w:rPr>
          <w:rFonts w:ascii="Arial" w:hAnsi="Arial" w:cs="Arial"/>
          <w:bCs w:val="0"/>
          <w:rtl/>
        </w:rPr>
      </w:pPr>
      <w:r w:rsidRPr="003A1708">
        <w:rPr>
          <w:rFonts w:ascii="Arial" w:hAnsi="Arial" w:cs="Arial"/>
          <w:bCs w:val="0"/>
          <w:rtl/>
        </w:rPr>
        <w:t xml:space="preserve">מודעה זו מתפרסמת גם באתר החברה </w:t>
      </w:r>
      <w:hyperlink r:id="rId7" w:history="1">
        <w:r w:rsidRPr="003A1708">
          <w:rPr>
            <w:rStyle w:val="Hyperlink"/>
            <w:rFonts w:ascii="Arial" w:hAnsi="Arial" w:cs="Arial"/>
            <w:bCs w:val="0"/>
          </w:rPr>
          <w:t>www.pei.co.il</w:t>
        </w:r>
      </w:hyperlink>
      <w:r w:rsidRPr="003A1708">
        <w:rPr>
          <w:rFonts w:ascii="Arial" w:hAnsi="Arial" w:cs="Arial"/>
          <w:bCs w:val="0"/>
        </w:rPr>
        <w:t xml:space="preserve"> </w:t>
      </w:r>
      <w:r w:rsidRPr="003A1708">
        <w:rPr>
          <w:rFonts w:ascii="Arial" w:hAnsi="Arial" w:cs="Arial"/>
          <w:bCs w:val="0"/>
          <w:rtl/>
        </w:rPr>
        <w:t xml:space="preserve"> ובעיתונות בשפה הערבית, ברם הנוסח המחייב הינו הנוסח העברי.</w:t>
      </w:r>
    </w:p>
    <w:sectPr w:rsidR="003D166C" w:rsidRPr="003A1708">
      <w:endnotePr>
        <w:numFmt w:val="lowerLetter"/>
      </w:endnotePr>
      <w:pgSz w:w="11906" w:h="16838"/>
      <w:pgMar w:top="1440" w:right="1797" w:bottom="1701" w:left="1797" w:header="720" w:footer="1134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5526F56"/>
    <w:lvl w:ilvl="0">
      <w:start w:val="1"/>
      <w:numFmt w:val="decimal"/>
      <w:lvlRestart w:val="0"/>
      <w:lvlText w:val="%1."/>
      <w:lvlJc w:val="right"/>
      <w:pPr>
        <w:tabs>
          <w:tab w:val="num" w:pos="709"/>
        </w:tabs>
        <w:ind w:left="709" w:right="709" w:hanging="709"/>
      </w:pPr>
      <w:rPr>
        <w:rFonts w:hint="default"/>
      </w:rPr>
    </w:lvl>
    <w:lvl w:ilvl="1">
      <w:start w:val="1"/>
      <w:numFmt w:val="decimal"/>
      <w:lvlText w:val="5.%2."/>
      <w:lvlJc w:val="right"/>
      <w:pPr>
        <w:tabs>
          <w:tab w:val="num" w:pos="1417"/>
        </w:tabs>
        <w:ind w:left="1417" w:right="1417" w:hanging="708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835" w:right="2835" w:hanging="709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4252" w:right="4252" w:hanging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right"/>
      <w:pPr>
        <w:tabs>
          <w:tab w:val="num" w:pos="0"/>
        </w:tabs>
        <w:ind w:left="4246" w:right="4246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955" w:right="4955" w:hanging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5664" w:right="5664" w:hanging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6372" w:right="6372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7081" w:right="7081" w:hanging="709"/>
      </w:pPr>
      <w:rPr>
        <w:rFonts w:hint="default"/>
      </w:rPr>
    </w:lvl>
  </w:abstractNum>
  <w:abstractNum w:abstractNumId="1" w15:restartNumberingAfterBreak="0">
    <w:nsid w:val="3C8323DC"/>
    <w:multiLevelType w:val="singleLevel"/>
    <w:tmpl w:val="B68223B6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 w15:restartNumberingAfterBreak="0">
    <w:nsid w:val="3EA209ED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44E2466E"/>
    <w:multiLevelType w:val="singleLevel"/>
    <w:tmpl w:val="719CC982"/>
    <w:lvl w:ilvl="0">
      <w:start w:val="1"/>
      <w:numFmt w:val="upperRoman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</w:abstractNum>
  <w:abstractNum w:abstractNumId="4" w15:restartNumberingAfterBreak="0">
    <w:nsid w:val="50BE4E25"/>
    <w:multiLevelType w:val="singleLevel"/>
    <w:tmpl w:val="72A0DF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5" w15:restartNumberingAfterBreak="0">
    <w:nsid w:val="5F047696"/>
    <w:multiLevelType w:val="hybridMultilevel"/>
    <w:tmpl w:val="3EBE851A"/>
    <w:lvl w:ilvl="0" w:tplc="72A0DFCC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C"/>
    <w:rsid w:val="00002B43"/>
    <w:rsid w:val="000128C0"/>
    <w:rsid w:val="000408B1"/>
    <w:rsid w:val="000460D6"/>
    <w:rsid w:val="00047CE0"/>
    <w:rsid w:val="000600CA"/>
    <w:rsid w:val="00084609"/>
    <w:rsid w:val="000D47F2"/>
    <w:rsid w:val="00116BCC"/>
    <w:rsid w:val="0013405D"/>
    <w:rsid w:val="00137A2C"/>
    <w:rsid w:val="00143A61"/>
    <w:rsid w:val="00150C0C"/>
    <w:rsid w:val="00194A02"/>
    <w:rsid w:val="00221E14"/>
    <w:rsid w:val="00241D7D"/>
    <w:rsid w:val="002505B5"/>
    <w:rsid w:val="00257603"/>
    <w:rsid w:val="002B7444"/>
    <w:rsid w:val="002F0C97"/>
    <w:rsid w:val="00365314"/>
    <w:rsid w:val="0036755C"/>
    <w:rsid w:val="003777DD"/>
    <w:rsid w:val="003A1708"/>
    <w:rsid w:val="003A48C9"/>
    <w:rsid w:val="003B0D9A"/>
    <w:rsid w:val="003D166C"/>
    <w:rsid w:val="003D3039"/>
    <w:rsid w:val="0042057B"/>
    <w:rsid w:val="0043307F"/>
    <w:rsid w:val="004562F9"/>
    <w:rsid w:val="00495FAB"/>
    <w:rsid w:val="004A3DCE"/>
    <w:rsid w:val="0050521D"/>
    <w:rsid w:val="0053561D"/>
    <w:rsid w:val="00563C3D"/>
    <w:rsid w:val="00570A07"/>
    <w:rsid w:val="005B7459"/>
    <w:rsid w:val="005F17F8"/>
    <w:rsid w:val="0062104B"/>
    <w:rsid w:val="006256BE"/>
    <w:rsid w:val="0062600F"/>
    <w:rsid w:val="00631B4E"/>
    <w:rsid w:val="00641A2E"/>
    <w:rsid w:val="00663945"/>
    <w:rsid w:val="00746A47"/>
    <w:rsid w:val="00773AAA"/>
    <w:rsid w:val="00795CD5"/>
    <w:rsid w:val="008009AA"/>
    <w:rsid w:val="008340BB"/>
    <w:rsid w:val="00834923"/>
    <w:rsid w:val="00836D2F"/>
    <w:rsid w:val="0083786F"/>
    <w:rsid w:val="008544DE"/>
    <w:rsid w:val="00897233"/>
    <w:rsid w:val="008C189E"/>
    <w:rsid w:val="008D2FBB"/>
    <w:rsid w:val="008F0E50"/>
    <w:rsid w:val="008F510A"/>
    <w:rsid w:val="00910A30"/>
    <w:rsid w:val="00914025"/>
    <w:rsid w:val="009268D1"/>
    <w:rsid w:val="00930A3F"/>
    <w:rsid w:val="009916BE"/>
    <w:rsid w:val="009E1F57"/>
    <w:rsid w:val="00A44600"/>
    <w:rsid w:val="00A77967"/>
    <w:rsid w:val="00AA1691"/>
    <w:rsid w:val="00AD2A34"/>
    <w:rsid w:val="00AE2D2E"/>
    <w:rsid w:val="00B171A8"/>
    <w:rsid w:val="00B27610"/>
    <w:rsid w:val="00B461FE"/>
    <w:rsid w:val="00B71AAA"/>
    <w:rsid w:val="00B72151"/>
    <w:rsid w:val="00C03B26"/>
    <w:rsid w:val="00C03B50"/>
    <w:rsid w:val="00C55214"/>
    <w:rsid w:val="00C63B0F"/>
    <w:rsid w:val="00C71BB2"/>
    <w:rsid w:val="00D03A85"/>
    <w:rsid w:val="00D1552F"/>
    <w:rsid w:val="00D1793C"/>
    <w:rsid w:val="00D6698B"/>
    <w:rsid w:val="00D82605"/>
    <w:rsid w:val="00D872B3"/>
    <w:rsid w:val="00EA12CD"/>
    <w:rsid w:val="00EB7368"/>
    <w:rsid w:val="00EC1006"/>
    <w:rsid w:val="00EE01C9"/>
    <w:rsid w:val="00F12FD5"/>
    <w:rsid w:val="00F14CDB"/>
    <w:rsid w:val="00F16C14"/>
    <w:rsid w:val="00F17CAA"/>
    <w:rsid w:val="00F7134B"/>
    <w:rsid w:val="00F8028C"/>
    <w:rsid w:val="00F94664"/>
    <w:rsid w:val="00F958C9"/>
    <w:rsid w:val="00FB02E3"/>
    <w:rsid w:val="00FF3BF9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3F7A8-6CEA-4F2D-9CA9-E91C130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bCs/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cs="Miriam"/>
      <w:b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Cs w:val="0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cs="David"/>
      <w:b/>
      <w:u w:val="single"/>
    </w:rPr>
  </w:style>
  <w:style w:type="paragraph" w:styleId="5">
    <w:name w:val="heading 5"/>
    <w:basedOn w:val="a"/>
    <w:qFormat/>
    <w:pPr>
      <w:keepLines/>
      <w:numPr>
        <w:ilvl w:val="4"/>
        <w:numId w:val="5"/>
      </w:numPr>
      <w:spacing w:after="120" w:line="360" w:lineRule="auto"/>
      <w:ind w:right="0"/>
      <w:jc w:val="both"/>
      <w:outlineLvl w:val="4"/>
    </w:pPr>
    <w:rPr>
      <w:rFonts w:ascii="Arial" w:hAnsi="Arial" w:cs="David"/>
      <w:bCs w:val="0"/>
      <w:sz w:val="22"/>
    </w:rPr>
  </w:style>
  <w:style w:type="paragraph" w:styleId="6">
    <w:name w:val="heading 6"/>
    <w:basedOn w:val="a"/>
    <w:qFormat/>
    <w:pPr>
      <w:keepLines/>
      <w:numPr>
        <w:ilvl w:val="5"/>
        <w:numId w:val="5"/>
      </w:numPr>
      <w:spacing w:after="120" w:line="360" w:lineRule="auto"/>
      <w:ind w:right="0"/>
      <w:jc w:val="both"/>
      <w:outlineLvl w:val="5"/>
    </w:pPr>
    <w:rPr>
      <w:rFonts w:ascii="Arial" w:hAnsi="Arial" w:cs="David"/>
      <w:bCs w:val="0"/>
      <w:sz w:val="22"/>
    </w:rPr>
  </w:style>
  <w:style w:type="paragraph" w:styleId="7">
    <w:name w:val="heading 7"/>
    <w:basedOn w:val="a"/>
    <w:qFormat/>
    <w:pPr>
      <w:keepLines/>
      <w:numPr>
        <w:ilvl w:val="6"/>
        <w:numId w:val="5"/>
      </w:numPr>
      <w:spacing w:after="120" w:line="360" w:lineRule="auto"/>
      <w:ind w:right="0"/>
      <w:jc w:val="both"/>
      <w:outlineLvl w:val="6"/>
    </w:pPr>
    <w:rPr>
      <w:rFonts w:ascii="Arial" w:hAnsi="Arial" w:cs="David"/>
      <w:bCs w:val="0"/>
      <w:sz w:val="22"/>
    </w:rPr>
  </w:style>
  <w:style w:type="paragraph" w:styleId="8">
    <w:name w:val="heading 8"/>
    <w:basedOn w:val="a"/>
    <w:qFormat/>
    <w:pPr>
      <w:keepLines/>
      <w:numPr>
        <w:ilvl w:val="7"/>
        <w:numId w:val="5"/>
      </w:numPr>
      <w:spacing w:after="120" w:line="360" w:lineRule="auto"/>
      <w:ind w:right="0"/>
      <w:jc w:val="both"/>
      <w:outlineLvl w:val="7"/>
    </w:pPr>
    <w:rPr>
      <w:rFonts w:ascii="Arial" w:hAnsi="Arial" w:cs="David"/>
      <w:bCs w:val="0"/>
      <w:sz w:val="22"/>
    </w:rPr>
  </w:style>
  <w:style w:type="paragraph" w:styleId="9">
    <w:name w:val="heading 9"/>
    <w:basedOn w:val="a"/>
    <w:qFormat/>
    <w:pPr>
      <w:keepLines/>
      <w:numPr>
        <w:ilvl w:val="8"/>
        <w:numId w:val="5"/>
      </w:numPr>
      <w:spacing w:after="120" w:line="360" w:lineRule="auto"/>
      <w:ind w:right="0"/>
      <w:jc w:val="both"/>
      <w:outlineLvl w:val="8"/>
    </w:pPr>
    <w:rPr>
      <w:rFonts w:ascii="Arial" w:hAnsi="Arial" w:cs="David"/>
      <w:bCs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תואר"/>
    <w:basedOn w:val="a"/>
    <w:qFormat/>
    <w:pPr>
      <w:jc w:val="center"/>
    </w:pPr>
    <w:rPr>
      <w:b/>
      <w:bCs w:val="0"/>
      <w:u w:val="single"/>
    </w:rPr>
  </w:style>
  <w:style w:type="paragraph" w:styleId="a4">
    <w:name w:val="Body Text"/>
    <w:basedOn w:val="a"/>
    <w:pPr>
      <w:spacing w:line="360" w:lineRule="auto"/>
    </w:pPr>
    <w:rPr>
      <w:bCs w:val="0"/>
    </w:rPr>
  </w:style>
  <w:style w:type="character" w:styleId="Hyperlink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B4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i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t@pei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מס'</vt:lpstr>
    </vt:vector>
  </TitlesOfParts>
  <Company>תשתיות נפט ואנרגיה בע"מ</Company>
  <LinksUpToDate>false</LinksUpToDate>
  <CharactersWithSpaces>1447</CharactersWithSpaces>
  <SharedDoc>false</SharedDoc>
  <HLinks>
    <vt:vector size="12" baseType="variant"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http://www.pei.co.il/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mailto:liat@pei.co.il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מס'</dc:title>
  <dc:subject/>
  <dc:creator>ליאת עוזיאל</dc:creator>
  <cp:keywords/>
  <cp:lastModifiedBy>user</cp:lastModifiedBy>
  <cp:revision>3</cp:revision>
  <cp:lastPrinted>2017-05-17T06:14:00Z</cp:lastPrinted>
  <dcterms:created xsi:type="dcterms:W3CDTF">2017-11-12T10:50:00Z</dcterms:created>
  <dcterms:modified xsi:type="dcterms:W3CDTF">2017-11-12T10:51:00Z</dcterms:modified>
</cp:coreProperties>
</file>